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FB60" w14:textId="77777777" w:rsidR="00C071DA" w:rsidRDefault="00584EC2">
      <w:pPr>
        <w:pStyle w:val="Title"/>
      </w:pPr>
      <w:r>
        <w:rPr>
          <w:color w:val="1E3763"/>
        </w:rPr>
        <w:t>Jeremy</w:t>
      </w:r>
      <w:r>
        <w:rPr>
          <w:color w:val="1E3763"/>
          <w:spacing w:val="-13"/>
        </w:rPr>
        <w:t xml:space="preserve"> </w:t>
      </w:r>
      <w:r>
        <w:rPr>
          <w:color w:val="1E3763"/>
          <w:spacing w:val="-2"/>
        </w:rPr>
        <w:t>Johnson</w:t>
      </w:r>
    </w:p>
    <w:p w14:paraId="2F2AFB61" w14:textId="77777777" w:rsidR="00C071DA" w:rsidRDefault="00584EC2">
      <w:pPr>
        <w:pStyle w:val="BodyText"/>
        <w:spacing w:line="229" w:lineRule="exact"/>
        <w:ind w:left="3132" w:right="3117"/>
        <w:jc w:val="center"/>
      </w:pPr>
      <w:r>
        <w:rPr>
          <w:b/>
          <w:color w:val="233F60"/>
        </w:rPr>
        <w:t>M:</w:t>
      </w:r>
      <w:r>
        <w:rPr>
          <w:b/>
          <w:color w:val="233F60"/>
          <w:spacing w:val="-3"/>
        </w:rPr>
        <w:t xml:space="preserve"> </w:t>
      </w:r>
      <w:r>
        <w:t>+64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418</w:t>
      </w:r>
      <w:r>
        <w:rPr>
          <w:spacing w:val="-4"/>
        </w:rPr>
        <w:t xml:space="preserve"> 1654</w:t>
      </w:r>
    </w:p>
    <w:p w14:paraId="2F2AFB62" w14:textId="77777777" w:rsidR="00C071DA" w:rsidRDefault="00584EC2">
      <w:pPr>
        <w:pStyle w:val="BodyText"/>
        <w:spacing w:before="10" w:line="226" w:lineRule="exact"/>
        <w:ind w:left="3132" w:right="3117"/>
        <w:jc w:val="center"/>
      </w:pPr>
      <w:r>
        <w:rPr>
          <w:b/>
          <w:color w:val="233F60"/>
        </w:rPr>
        <w:t>E:</w:t>
      </w:r>
      <w:r>
        <w:rPr>
          <w:b/>
          <w:color w:val="233F60"/>
          <w:spacing w:val="-2"/>
        </w:rPr>
        <w:t xml:space="preserve"> </w:t>
      </w:r>
      <w:hyperlink r:id="rId5">
        <w:r>
          <w:rPr>
            <w:spacing w:val="-2"/>
          </w:rPr>
          <w:t>jeremy.johnson@bankside.co.nz</w:t>
        </w:r>
      </w:hyperlink>
    </w:p>
    <w:p w14:paraId="2F2AFB63" w14:textId="77777777" w:rsidR="00C071DA" w:rsidRDefault="00584EC2">
      <w:pPr>
        <w:pStyle w:val="Heading1"/>
        <w:spacing w:line="272" w:lineRule="exact"/>
        <w:ind w:left="107" w:right="8152"/>
        <w:jc w:val="center"/>
      </w:pPr>
      <w:r>
        <w:rPr>
          <w:color w:val="233F60"/>
          <w:spacing w:val="-2"/>
        </w:rPr>
        <w:t>Summary</w:t>
      </w:r>
    </w:p>
    <w:p w14:paraId="2F2AFB64" w14:textId="253B1E04" w:rsidR="00C071DA" w:rsidRDefault="00584EC2">
      <w:pPr>
        <w:pStyle w:val="BodyText"/>
        <w:spacing w:before="119"/>
        <w:ind w:right="41"/>
      </w:pPr>
      <w:r>
        <w:t>Jeremy is an experienced litigator and dispute resolution specialist.</w:t>
      </w:r>
      <w:r>
        <w:rPr>
          <w:spacing w:val="40"/>
        </w:rPr>
        <w:t xml:space="preserve"> </w:t>
      </w:r>
      <w:r>
        <w:t>He has expertise in commercial, insolvency,</w:t>
      </w:r>
      <w:r>
        <w:rPr>
          <w:spacing w:val="-3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law.</w:t>
      </w:r>
      <w:r>
        <w:rPr>
          <w:spacing w:val="40"/>
        </w:rPr>
        <w:t xml:space="preserve"> </w:t>
      </w:r>
      <w:r>
        <w:t>Jeremy</w:t>
      </w:r>
      <w:r>
        <w:rPr>
          <w:spacing w:val="-2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Dispute</w:t>
      </w:r>
      <w:r>
        <w:rPr>
          <w:spacing w:val="-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team at Wynn Williams</w:t>
      </w:r>
      <w:r w:rsidR="00BC1C08">
        <w:t xml:space="preserve"> for seven years prior to moving to Bankside Chambers</w:t>
      </w:r>
      <w:r>
        <w:t>.</w:t>
      </w:r>
    </w:p>
    <w:p w14:paraId="2F2AFB65" w14:textId="77777777" w:rsidR="00C071DA" w:rsidRDefault="00C071DA">
      <w:pPr>
        <w:pStyle w:val="BodyText"/>
        <w:spacing w:before="10"/>
        <w:ind w:left="0"/>
        <w:rPr>
          <w:sz w:val="19"/>
        </w:rPr>
      </w:pPr>
    </w:p>
    <w:p w14:paraId="2F2AFB66" w14:textId="77777777" w:rsidR="00C071DA" w:rsidRDefault="00584EC2">
      <w:pPr>
        <w:pStyle w:val="BodyText"/>
        <w:spacing w:before="1"/>
        <w:ind w:right="141"/>
      </w:pPr>
      <w:r>
        <w:t>Jeremy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t>grasp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 accurate,</w:t>
      </w:r>
      <w:r>
        <w:rPr>
          <w:spacing w:val="-4"/>
        </w:rPr>
        <w:t xml:space="preserve"> </w:t>
      </w:r>
      <w:r>
        <w:t>commercially</w:t>
      </w:r>
      <w:r>
        <w:rPr>
          <w:spacing w:val="-3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short notice.</w:t>
      </w:r>
      <w:r>
        <w:rPr>
          <w:spacing w:val="40"/>
        </w:rPr>
        <w:t xml:space="preserve"> </w:t>
      </w:r>
      <w:r>
        <w:t>He is frequently instructed to appear as counsel in the courts and before arbitral tribunals.</w:t>
      </w:r>
      <w:r>
        <w:rPr>
          <w:spacing w:val="40"/>
        </w:rPr>
        <w:t xml:space="preserve"> </w:t>
      </w:r>
      <w:r>
        <w:t>In the past year he has appeared as senior counsel in more than half a dozen hearings and has also appeared as junior counsel with some of New Zealand’s leading barristers.</w:t>
      </w:r>
      <w:r>
        <w:rPr>
          <w:spacing w:val="40"/>
        </w:rPr>
        <w:t xml:space="preserve"> </w:t>
      </w:r>
      <w:r>
        <w:t>As part of his practice he also often undertakes discreet work for high profile individuals and families.</w:t>
      </w:r>
    </w:p>
    <w:p w14:paraId="2F2AFB67" w14:textId="77777777" w:rsidR="00C071DA" w:rsidRDefault="00C071DA">
      <w:pPr>
        <w:pStyle w:val="BodyText"/>
        <w:spacing w:before="11"/>
        <w:ind w:left="0"/>
        <w:rPr>
          <w:sz w:val="19"/>
        </w:rPr>
      </w:pPr>
    </w:p>
    <w:p w14:paraId="2F2AFB68" w14:textId="2D8985EF" w:rsidR="00C071DA" w:rsidRDefault="00584EC2">
      <w:pPr>
        <w:ind w:left="118"/>
        <w:rPr>
          <w:sz w:val="20"/>
        </w:rPr>
      </w:pPr>
      <w:r>
        <w:rPr>
          <w:sz w:val="20"/>
        </w:rPr>
        <w:t>Jeremy is recognised as being a leader in his field by The Legal 500 Asia Pacific 20</w:t>
      </w:r>
      <w:r w:rsidR="00ED3CC7">
        <w:rPr>
          <w:sz w:val="20"/>
        </w:rPr>
        <w:t>21</w:t>
      </w:r>
      <w:r>
        <w:rPr>
          <w:sz w:val="20"/>
        </w:rPr>
        <w:t>, and is also recognised by the Chambers Asia-Pacific 20</w:t>
      </w:r>
      <w:r w:rsidR="00ED3CC7">
        <w:rPr>
          <w:sz w:val="20"/>
        </w:rPr>
        <w:t>21</w:t>
      </w:r>
      <w:r>
        <w:rPr>
          <w:sz w:val="20"/>
        </w:rPr>
        <w:t xml:space="preserve"> and Chambers Global 20</w:t>
      </w:r>
      <w:r w:rsidR="00ED3CC7">
        <w:rPr>
          <w:sz w:val="20"/>
        </w:rPr>
        <w:t>21</w:t>
      </w:r>
      <w:r>
        <w:rPr>
          <w:sz w:val="20"/>
        </w:rPr>
        <w:t xml:space="preserve"> legal guides.</w:t>
      </w:r>
      <w:r>
        <w:rPr>
          <w:spacing w:val="40"/>
          <w:sz w:val="20"/>
        </w:rPr>
        <w:t xml:space="preserve"> </w:t>
      </w:r>
      <w:r>
        <w:rPr>
          <w:sz w:val="20"/>
        </w:rPr>
        <w:t>He is recommended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outstanding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service</w:t>
      </w:r>
      <w:r>
        <w:rPr>
          <w:sz w:val="20"/>
        </w:rPr>
        <w:t>"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client-handling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skills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top-class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litigator"</w:t>
      </w:r>
      <w:r>
        <w:rPr>
          <w:sz w:val="20"/>
        </w:rPr>
        <w:t>. One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2"/>
          <w:sz w:val="20"/>
        </w:rPr>
        <w:t xml:space="preserve"> </w:t>
      </w:r>
      <w:r>
        <w:rPr>
          <w:sz w:val="20"/>
        </w:rPr>
        <w:t>describes him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excellent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strategic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litigator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thinker.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well regarded by other practitioners, which makes negotiations more streamlined</w:t>
      </w:r>
      <w:r>
        <w:rPr>
          <w:sz w:val="20"/>
        </w:rPr>
        <w:t>".</w:t>
      </w:r>
    </w:p>
    <w:p w14:paraId="2F2AFB69" w14:textId="77777777" w:rsidR="00C071DA" w:rsidRDefault="00C071DA">
      <w:pPr>
        <w:pStyle w:val="BodyText"/>
        <w:ind w:left="0"/>
      </w:pPr>
    </w:p>
    <w:p w14:paraId="2F2AFB6A" w14:textId="77777777" w:rsidR="00C071DA" w:rsidRDefault="00584EC2">
      <w:pPr>
        <w:ind w:left="118" w:right="141"/>
        <w:rPr>
          <w:sz w:val="20"/>
        </w:rPr>
      </w:pP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directories</w:t>
      </w:r>
      <w:r>
        <w:rPr>
          <w:spacing w:val="-2"/>
          <w:sz w:val="20"/>
        </w:rPr>
        <w:t xml:space="preserve"> </w:t>
      </w:r>
      <w:r>
        <w:rPr>
          <w:sz w:val="20"/>
        </w:rPr>
        <w:t>said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Jeremy is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league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own</w:t>
      </w:r>
      <w:r>
        <w:rPr>
          <w:sz w:val="20"/>
        </w:rPr>
        <w:t>",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excellent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lawyer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sharp intellect, and is a good tactician and a very good communicator.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His approach in court is courteous and disarming</w:t>
      </w:r>
      <w:r>
        <w:rPr>
          <w:sz w:val="20"/>
        </w:rPr>
        <w:t>" while one impressed client enthused that he is "</w:t>
      </w:r>
      <w:r>
        <w:rPr>
          <w:i/>
          <w:sz w:val="20"/>
        </w:rPr>
        <w:t>probably the most outstanding young lawyer I have ever met</w:t>
      </w:r>
      <w:r>
        <w:rPr>
          <w:sz w:val="20"/>
        </w:rPr>
        <w:t>”.</w:t>
      </w:r>
    </w:p>
    <w:p w14:paraId="2F2AFB6B" w14:textId="77777777" w:rsidR="00C071DA" w:rsidRDefault="00C071DA">
      <w:pPr>
        <w:pStyle w:val="BodyText"/>
        <w:ind w:left="0"/>
      </w:pPr>
    </w:p>
    <w:p w14:paraId="2F2AFB6C" w14:textId="77777777" w:rsidR="00C071DA" w:rsidRDefault="00584EC2">
      <w:pPr>
        <w:pStyle w:val="BodyText"/>
        <w:ind w:right="41"/>
      </w:pP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Jeremy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considerable governance </w:t>
      </w:r>
      <w:r>
        <w:rPr>
          <w:spacing w:val="-2"/>
        </w:rPr>
        <w:t>experience.</w:t>
      </w:r>
    </w:p>
    <w:p w14:paraId="2F2AFB6D" w14:textId="77777777" w:rsidR="00C071DA" w:rsidRDefault="00C071DA">
      <w:pPr>
        <w:pStyle w:val="BodyText"/>
        <w:spacing w:before="2"/>
        <w:ind w:left="0"/>
        <w:rPr>
          <w:sz w:val="24"/>
        </w:rPr>
      </w:pPr>
    </w:p>
    <w:p w14:paraId="2F2AFB6E" w14:textId="77777777" w:rsidR="00C071DA" w:rsidRDefault="00584EC2">
      <w:pPr>
        <w:pStyle w:val="Heading1"/>
      </w:pPr>
      <w:r>
        <w:rPr>
          <w:color w:val="233F60"/>
          <w:spacing w:val="-2"/>
        </w:rPr>
        <w:t>Academics</w:t>
      </w:r>
    </w:p>
    <w:p w14:paraId="2F2AFB6F" w14:textId="77777777" w:rsidR="00C071DA" w:rsidRDefault="00584EC2">
      <w:pPr>
        <w:pStyle w:val="BodyText"/>
        <w:spacing w:before="40" w:line="400" w:lineRule="auto"/>
        <w:ind w:right="4600"/>
      </w:pPr>
      <w:r>
        <w:t>BA,</w:t>
      </w:r>
      <w:r>
        <w:rPr>
          <w:spacing w:val="-6"/>
        </w:rPr>
        <w:t xml:space="preserve"> </w:t>
      </w:r>
      <w:r>
        <w:t>LLB</w:t>
      </w:r>
      <w:r>
        <w:rPr>
          <w:spacing w:val="-9"/>
        </w:rPr>
        <w:t xml:space="preserve"> </w:t>
      </w:r>
      <w:r>
        <w:t>(Hons),</w:t>
      </w:r>
      <w:r>
        <w:rPr>
          <w:spacing w:val="-8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Canterbury</w:t>
      </w:r>
      <w:r>
        <w:rPr>
          <w:spacing w:val="-7"/>
        </w:rPr>
        <w:t xml:space="preserve"> </w:t>
      </w:r>
      <w:r>
        <w:t>(2008) LLM, University of Cambridge (2012)</w:t>
      </w:r>
    </w:p>
    <w:p w14:paraId="2F2AFB70" w14:textId="77777777" w:rsidR="00C071DA" w:rsidRDefault="00584EC2">
      <w:pPr>
        <w:pStyle w:val="BodyText"/>
        <w:spacing w:before="2"/>
      </w:pPr>
      <w:r>
        <w:t>STEP</w:t>
      </w:r>
      <w:r>
        <w:rPr>
          <w:spacing w:val="-9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Disputes</w:t>
      </w:r>
      <w:r>
        <w:rPr>
          <w:spacing w:val="-7"/>
        </w:rPr>
        <w:t xml:space="preserve"> </w:t>
      </w:r>
      <w:r>
        <w:rPr>
          <w:spacing w:val="-2"/>
        </w:rPr>
        <w:t>(2017)</w:t>
      </w:r>
    </w:p>
    <w:p w14:paraId="2F2AFB71" w14:textId="77777777" w:rsidR="00C071DA" w:rsidRDefault="00584EC2">
      <w:pPr>
        <w:pStyle w:val="BodyText"/>
        <w:spacing w:before="154"/>
      </w:pPr>
      <w:r>
        <w:t>Australian</w:t>
      </w:r>
      <w:r>
        <w:rPr>
          <w:spacing w:val="-9"/>
        </w:rPr>
        <w:t xml:space="preserve"> </w:t>
      </w:r>
      <w:r>
        <w:t>Bar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Advanced</w:t>
      </w:r>
      <w:r>
        <w:rPr>
          <w:spacing w:val="-8"/>
        </w:rPr>
        <w:t xml:space="preserve"> </w:t>
      </w:r>
      <w:r>
        <w:t>Trial</w:t>
      </w:r>
      <w:r>
        <w:rPr>
          <w:spacing w:val="-7"/>
        </w:rPr>
        <w:t xml:space="preserve"> </w:t>
      </w:r>
      <w:r>
        <w:t>Advocacy</w:t>
      </w:r>
      <w:r>
        <w:rPr>
          <w:spacing w:val="-7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rPr>
          <w:spacing w:val="-2"/>
        </w:rPr>
        <w:t>(2020)</w:t>
      </w:r>
    </w:p>
    <w:p w14:paraId="2F2AFB72" w14:textId="77777777" w:rsidR="00C071DA" w:rsidRDefault="00C071DA">
      <w:pPr>
        <w:pStyle w:val="BodyText"/>
        <w:ind w:left="0"/>
      </w:pPr>
    </w:p>
    <w:p w14:paraId="2F2AFB73" w14:textId="77777777" w:rsidR="00C071DA" w:rsidRDefault="00C071DA">
      <w:pPr>
        <w:pStyle w:val="BodyText"/>
        <w:spacing w:before="10"/>
        <w:ind w:left="0"/>
        <w:rPr>
          <w:sz w:val="27"/>
        </w:rPr>
      </w:pPr>
    </w:p>
    <w:p w14:paraId="2F2AFB74" w14:textId="77777777" w:rsidR="00C071DA" w:rsidRDefault="00584EC2">
      <w:pPr>
        <w:pStyle w:val="Heading1"/>
      </w:pPr>
      <w:r>
        <w:rPr>
          <w:color w:val="233F60"/>
          <w:spacing w:val="-2"/>
        </w:rPr>
        <w:t>Prizes</w:t>
      </w:r>
    </w:p>
    <w:p w14:paraId="2F2AFB75" w14:textId="77777777" w:rsidR="00C071DA" w:rsidRDefault="00584EC2">
      <w:pPr>
        <w:pStyle w:val="BodyText"/>
        <w:spacing w:before="120" w:line="364" w:lineRule="auto"/>
        <w:ind w:right="2382"/>
      </w:pPr>
      <w:r>
        <w:t>New</w:t>
      </w:r>
      <w:r>
        <w:rPr>
          <w:spacing w:val="-5"/>
        </w:rPr>
        <w:t xml:space="preserve"> </w:t>
      </w:r>
      <w:r>
        <w:t>Zealand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Lawyer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(2017) FAMINZ (Arb) (2016)</w:t>
      </w:r>
    </w:p>
    <w:p w14:paraId="2F2AFB76" w14:textId="77777777" w:rsidR="00C071DA" w:rsidRDefault="00584EC2">
      <w:pPr>
        <w:pStyle w:val="BodyText"/>
        <w:spacing w:before="1"/>
      </w:pPr>
      <w:r>
        <w:t>FCIArb</w:t>
      </w:r>
      <w:r>
        <w:rPr>
          <w:spacing w:val="-10"/>
        </w:rPr>
        <w:t xml:space="preserve"> </w:t>
      </w:r>
      <w:r>
        <w:rPr>
          <w:spacing w:val="-2"/>
        </w:rPr>
        <w:t>(2016)</w:t>
      </w:r>
    </w:p>
    <w:p w14:paraId="2F2AFB77" w14:textId="77777777" w:rsidR="00C071DA" w:rsidRDefault="00584EC2">
      <w:pPr>
        <w:pStyle w:val="BodyText"/>
        <w:spacing w:before="118" w:line="364" w:lineRule="auto"/>
        <w:ind w:right="2382"/>
      </w:pPr>
      <w:r>
        <w:t>Sir</w:t>
      </w:r>
      <w:r>
        <w:rPr>
          <w:spacing w:val="-5"/>
        </w:rPr>
        <w:t xml:space="preserve"> </w:t>
      </w:r>
      <w:r>
        <w:t>Ronald</w:t>
      </w:r>
      <w:r>
        <w:rPr>
          <w:spacing w:val="-6"/>
        </w:rPr>
        <w:t xml:space="preserve"> </w:t>
      </w:r>
      <w:r>
        <w:t>Davison</w:t>
      </w:r>
      <w:r>
        <w:rPr>
          <w:spacing w:val="-4"/>
        </w:rPr>
        <w:t xml:space="preserve"> </w:t>
      </w:r>
      <w:r>
        <w:t>Prize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Arbitral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(2016) Cleary Memorial Prize (2009)</w:t>
      </w:r>
    </w:p>
    <w:p w14:paraId="2F2AFB78" w14:textId="77777777" w:rsidR="00C071DA" w:rsidRDefault="00584EC2">
      <w:pPr>
        <w:pStyle w:val="BodyText"/>
        <w:spacing w:before="2"/>
      </w:pPr>
      <w:r>
        <w:t>Life</w:t>
      </w:r>
      <w:r>
        <w:rPr>
          <w:spacing w:val="-6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Zealand</w:t>
      </w:r>
      <w:r>
        <w:rPr>
          <w:spacing w:val="-6"/>
        </w:rPr>
        <w:t xml:space="preserve"> </w:t>
      </w:r>
      <w:r>
        <w:t>Schools’</w:t>
      </w:r>
      <w:r>
        <w:rPr>
          <w:spacing w:val="-6"/>
        </w:rPr>
        <w:t xml:space="preserve"> </w:t>
      </w:r>
      <w:r>
        <w:t>Debating</w:t>
      </w:r>
      <w:r>
        <w:rPr>
          <w:spacing w:val="-7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2"/>
        </w:rPr>
        <w:t>(2008)</w:t>
      </w:r>
    </w:p>
    <w:p w14:paraId="2F2AFB79" w14:textId="77777777" w:rsidR="00C071DA" w:rsidRDefault="00C071DA">
      <w:pPr>
        <w:pStyle w:val="BodyText"/>
        <w:ind w:left="0"/>
      </w:pPr>
    </w:p>
    <w:p w14:paraId="2F2AFB7A" w14:textId="77777777" w:rsidR="00C071DA" w:rsidRDefault="00C071DA">
      <w:pPr>
        <w:pStyle w:val="BodyText"/>
        <w:ind w:left="0"/>
        <w:rPr>
          <w:sz w:val="25"/>
        </w:rPr>
      </w:pPr>
    </w:p>
    <w:p w14:paraId="2F2AFB7B" w14:textId="77777777" w:rsidR="00C071DA" w:rsidRDefault="00584EC2">
      <w:pPr>
        <w:pStyle w:val="Heading1"/>
      </w:pPr>
      <w:r>
        <w:rPr>
          <w:color w:val="233F60"/>
          <w:spacing w:val="-2"/>
        </w:rPr>
        <w:t>Employment</w:t>
      </w:r>
    </w:p>
    <w:p w14:paraId="2F2AFB7C" w14:textId="1ACC7970" w:rsidR="00C071DA" w:rsidRDefault="00584EC2">
      <w:pPr>
        <w:pStyle w:val="BodyText"/>
        <w:spacing w:before="119" w:line="364" w:lineRule="auto"/>
        <w:ind w:right="5781"/>
        <w:jc w:val="both"/>
      </w:pPr>
      <w:r>
        <w:t>Partner,</w:t>
      </w:r>
      <w:r>
        <w:rPr>
          <w:spacing w:val="-9"/>
        </w:rPr>
        <w:t xml:space="preserve"> </w:t>
      </w:r>
      <w:r>
        <w:t>Wynn</w:t>
      </w:r>
      <w:r>
        <w:rPr>
          <w:spacing w:val="-9"/>
        </w:rPr>
        <w:t xml:space="preserve"> </w:t>
      </w:r>
      <w:r>
        <w:t>Williams,</w:t>
      </w:r>
      <w:r>
        <w:rPr>
          <w:spacing w:val="-7"/>
        </w:rPr>
        <w:t xml:space="preserve"> </w:t>
      </w:r>
      <w:r>
        <w:t>2013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 w:rsidR="00C06CE5">
        <w:t>2020</w:t>
      </w:r>
      <w:r>
        <w:t xml:space="preserve"> Senior</w:t>
      </w:r>
      <w:r>
        <w:rPr>
          <w:spacing w:val="-9"/>
        </w:rPr>
        <w:t xml:space="preserve"> </w:t>
      </w:r>
      <w:r>
        <w:t>Associate,</w:t>
      </w:r>
      <w:r>
        <w:rPr>
          <w:spacing w:val="-11"/>
        </w:rPr>
        <w:t xml:space="preserve"> </w:t>
      </w:r>
      <w:r>
        <w:t>Wynn</w:t>
      </w:r>
      <w:r>
        <w:rPr>
          <w:spacing w:val="-10"/>
        </w:rPr>
        <w:t xml:space="preserve"> </w:t>
      </w:r>
      <w:r>
        <w:t>Williams,</w:t>
      </w:r>
      <w:r>
        <w:rPr>
          <w:spacing w:val="-10"/>
        </w:rPr>
        <w:t xml:space="preserve"> </w:t>
      </w:r>
      <w:r>
        <w:t>2012 Associate,</w:t>
      </w:r>
      <w:r>
        <w:rPr>
          <w:spacing w:val="-6"/>
        </w:rPr>
        <w:t xml:space="preserve"> </w:t>
      </w:r>
      <w:r>
        <w:t>Wynn</w:t>
      </w:r>
      <w:r>
        <w:rPr>
          <w:spacing w:val="-7"/>
        </w:rPr>
        <w:t xml:space="preserve"> </w:t>
      </w:r>
      <w:r>
        <w:t>Williams,</w:t>
      </w:r>
      <w:r>
        <w:rPr>
          <w:spacing w:val="-5"/>
        </w:rPr>
        <w:t xml:space="preserve"> </w:t>
      </w:r>
      <w:r>
        <w:t>2010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2012</w:t>
      </w:r>
    </w:p>
    <w:p w14:paraId="2F2AFB7D" w14:textId="77777777" w:rsidR="00C071DA" w:rsidRDefault="00584EC2">
      <w:pPr>
        <w:pStyle w:val="BodyText"/>
        <w:jc w:val="both"/>
      </w:pPr>
      <w:r>
        <w:t>Solicitor,</w:t>
      </w:r>
      <w:r>
        <w:rPr>
          <w:spacing w:val="-7"/>
        </w:rPr>
        <w:t xml:space="preserve"> </w:t>
      </w:r>
      <w:r>
        <w:t>Wynn</w:t>
      </w:r>
      <w:r>
        <w:rPr>
          <w:spacing w:val="-4"/>
        </w:rPr>
        <w:t xml:space="preserve"> </w:t>
      </w:r>
      <w:r>
        <w:t>Williams,</w:t>
      </w:r>
      <w:r>
        <w:rPr>
          <w:spacing w:val="-5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4"/>
        </w:rPr>
        <w:t>2010</w:t>
      </w:r>
    </w:p>
    <w:p w14:paraId="2F2AFB7E" w14:textId="77777777" w:rsidR="00C071DA" w:rsidRDefault="00C071DA">
      <w:pPr>
        <w:jc w:val="both"/>
        <w:sectPr w:rsidR="00C071DA">
          <w:type w:val="continuous"/>
          <w:pgSz w:w="11900" w:h="16840"/>
          <w:pgMar w:top="1420" w:right="1340" w:bottom="280" w:left="1180" w:header="720" w:footer="720" w:gutter="0"/>
          <w:cols w:space="720"/>
        </w:sectPr>
      </w:pPr>
    </w:p>
    <w:p w14:paraId="2F2AFB7F" w14:textId="77777777" w:rsidR="00C071DA" w:rsidRDefault="00584EC2">
      <w:pPr>
        <w:pStyle w:val="Heading1"/>
        <w:spacing w:before="40"/>
      </w:pPr>
      <w:r>
        <w:rPr>
          <w:color w:val="233F60"/>
          <w:spacing w:val="-2"/>
        </w:rPr>
        <w:lastRenderedPageBreak/>
        <w:t>Community</w:t>
      </w:r>
    </w:p>
    <w:p w14:paraId="2F2AFB80" w14:textId="77777777" w:rsidR="00C071DA" w:rsidRDefault="00584EC2">
      <w:pPr>
        <w:pStyle w:val="BodyText"/>
        <w:spacing w:before="119"/>
      </w:pPr>
      <w:r>
        <w:t>Deputy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Adviser,</w:t>
      </w:r>
      <w:r>
        <w:rPr>
          <w:spacing w:val="-5"/>
        </w:rPr>
        <w:t xml:space="preserve"> </w:t>
      </w:r>
      <w:r>
        <w:t>Primates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Anglican</w:t>
      </w:r>
      <w:r>
        <w:rPr>
          <w:spacing w:val="-7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Aotearoa,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Zealand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Polynesia,</w:t>
      </w:r>
      <w:r>
        <w:rPr>
          <w:spacing w:val="-5"/>
        </w:rPr>
        <w:t xml:space="preserve"> </w:t>
      </w:r>
      <w:r>
        <w:rPr>
          <w:spacing w:val="-4"/>
        </w:rPr>
        <w:t>2014</w:t>
      </w:r>
    </w:p>
    <w:p w14:paraId="2F2AFB81" w14:textId="3D4731E6" w:rsidR="00C071DA" w:rsidRDefault="00584EC2">
      <w:pPr>
        <w:pStyle w:val="BodyText"/>
        <w:spacing w:before="1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present</w:t>
      </w:r>
      <w:r>
        <w:rPr>
          <w:spacing w:val="-2"/>
        </w:rPr>
        <w:br/>
      </w:r>
      <w:r w:rsidR="00EF3A5C">
        <w:rPr>
          <w:spacing w:val="-2"/>
        </w:rPr>
        <w:br/>
      </w:r>
      <w:r>
        <w:rPr>
          <w:spacing w:val="-2"/>
        </w:rPr>
        <w:t>Chancellor, Anglican Diocese of Waiapu, 2021-present</w:t>
      </w:r>
    </w:p>
    <w:p w14:paraId="2F2AFB82" w14:textId="132A6D9E" w:rsidR="00C071DA" w:rsidRDefault="00584EC2" w:rsidP="00EF3A5C">
      <w:pPr>
        <w:pStyle w:val="BodyText"/>
        <w:spacing w:before="120" w:line="364" w:lineRule="auto"/>
        <w:ind w:right="3727"/>
      </w:pPr>
      <w:r>
        <w:t>Chancellor, Anglican Diocese of Christchurch, 2015-</w:t>
      </w:r>
      <w:r w:rsidR="00EF3A5C">
        <w:t>2020</w:t>
      </w:r>
      <w:r w:rsidR="00EF3A5C">
        <w:br/>
      </w:r>
      <w:r>
        <w:t>Vice-Chancellor,</w:t>
      </w:r>
      <w:r>
        <w:rPr>
          <w:spacing w:val="-9"/>
        </w:rPr>
        <w:t xml:space="preserve"> </w:t>
      </w:r>
      <w:r>
        <w:t>Anglican</w:t>
      </w:r>
      <w:r>
        <w:rPr>
          <w:spacing w:val="-8"/>
        </w:rPr>
        <w:t xml:space="preserve"> </w:t>
      </w:r>
      <w:r>
        <w:t>Diocese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Christchurch,</w:t>
      </w:r>
      <w:r>
        <w:rPr>
          <w:spacing w:val="-9"/>
        </w:rPr>
        <w:t xml:space="preserve"> </w:t>
      </w:r>
      <w:r>
        <w:t>2008-2015 Chair, New Zealand String Quartet Trust, 2019-present Trustee, New Zealand String Quartet Trust, 2018-2019</w:t>
      </w:r>
    </w:p>
    <w:p w14:paraId="2F2AFB83" w14:textId="77777777" w:rsidR="00C071DA" w:rsidRDefault="00584EC2">
      <w:pPr>
        <w:pStyle w:val="BodyText"/>
        <w:spacing w:before="1" w:line="364" w:lineRule="auto"/>
        <w:ind w:right="2382"/>
      </w:pPr>
      <w:r>
        <w:t>Member,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Governors,</w:t>
      </w:r>
      <w:r>
        <w:rPr>
          <w:spacing w:val="-7"/>
        </w:rPr>
        <w:t xml:space="preserve"> </w:t>
      </w:r>
      <w:r>
        <w:t>Christ’s</w:t>
      </w:r>
      <w:r>
        <w:rPr>
          <w:spacing w:val="-6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Canterbury,</w:t>
      </w:r>
      <w:r>
        <w:rPr>
          <w:spacing w:val="-7"/>
        </w:rPr>
        <w:t xml:space="preserve"> </w:t>
      </w:r>
      <w:r>
        <w:t>2017-present President, Christ’s College Old Boys’ Association, 2016-2018</w:t>
      </w:r>
    </w:p>
    <w:p w14:paraId="2F2AFB84" w14:textId="77777777" w:rsidR="00C071DA" w:rsidRDefault="00584EC2">
      <w:pPr>
        <w:pStyle w:val="BodyText"/>
        <w:spacing w:before="2" w:line="362" w:lineRule="auto"/>
        <w:ind w:right="2382"/>
      </w:pP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Governors,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Evangelist,</w:t>
      </w:r>
      <w:r>
        <w:rPr>
          <w:spacing w:val="-3"/>
        </w:rPr>
        <w:t xml:space="preserve"> </w:t>
      </w:r>
      <w:r>
        <w:t>2014-2018 Member, Legislation Advisory Committee, 2011-2018</w:t>
      </w:r>
    </w:p>
    <w:p w14:paraId="2F2AFB85" w14:textId="77777777" w:rsidR="00C071DA" w:rsidRDefault="00584EC2">
      <w:pPr>
        <w:pStyle w:val="BodyText"/>
        <w:spacing w:before="4"/>
      </w:pPr>
      <w:r>
        <w:t>Member,</w:t>
      </w:r>
      <w:r>
        <w:rPr>
          <w:spacing w:val="-9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Aid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Panel,</w:t>
      </w:r>
      <w:r>
        <w:rPr>
          <w:spacing w:val="-7"/>
        </w:rPr>
        <w:t xml:space="preserve"> </w:t>
      </w:r>
      <w:r>
        <w:t>2011-</w:t>
      </w:r>
      <w:r>
        <w:rPr>
          <w:spacing w:val="-4"/>
        </w:rPr>
        <w:t>2012</w:t>
      </w:r>
    </w:p>
    <w:p w14:paraId="2F2AFB86" w14:textId="77777777" w:rsidR="00C071DA" w:rsidRDefault="00C071DA">
      <w:pPr>
        <w:pStyle w:val="BodyText"/>
        <w:ind w:left="0"/>
      </w:pPr>
    </w:p>
    <w:p w14:paraId="2F2AFB87" w14:textId="7DC1B5CB" w:rsidR="00C071DA" w:rsidRDefault="00AC7020">
      <w:pPr>
        <w:pStyle w:val="Heading1"/>
        <w:spacing w:before="167"/>
        <w:rPr>
          <w:color w:val="233F60"/>
          <w:spacing w:val="-2"/>
        </w:rPr>
      </w:pPr>
      <w:r>
        <w:rPr>
          <w:color w:val="233F60"/>
        </w:rPr>
        <w:t>Case</w:t>
      </w:r>
      <w:r w:rsidR="006F2BB7">
        <w:rPr>
          <w:color w:val="233F60"/>
        </w:rPr>
        <w:t xml:space="preserve"> List and </w:t>
      </w:r>
      <w:r w:rsidR="00584EC2">
        <w:rPr>
          <w:color w:val="233F60"/>
        </w:rPr>
        <w:t>Reported</w:t>
      </w:r>
      <w:r w:rsidR="00584EC2">
        <w:rPr>
          <w:color w:val="233F60"/>
          <w:spacing w:val="-13"/>
        </w:rPr>
        <w:t xml:space="preserve"> </w:t>
      </w:r>
      <w:r w:rsidR="00584EC2">
        <w:rPr>
          <w:color w:val="233F60"/>
          <w:spacing w:val="-2"/>
        </w:rPr>
        <w:t>Decisions</w:t>
      </w:r>
    </w:p>
    <w:p w14:paraId="3B87A50D" w14:textId="77777777" w:rsidR="00AC5F54" w:rsidRDefault="00AC5F54">
      <w:pPr>
        <w:pStyle w:val="Heading1"/>
        <w:spacing w:before="167"/>
      </w:pPr>
    </w:p>
    <w:p w14:paraId="3253171E" w14:textId="77777777" w:rsidR="00AC5F54" w:rsidRPr="00855696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X v Y </w:t>
      </w:r>
      <w:r>
        <w:rPr>
          <w:b w:val="0"/>
          <w:color w:val="auto"/>
          <w:sz w:val="20"/>
          <w:szCs w:val="20"/>
        </w:rPr>
        <w:t>[a two-week private arbitration; decision 19 October 2022)</w:t>
      </w:r>
    </w:p>
    <w:p w14:paraId="38AAB024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Northash Ltd v Zeff Farms Ltd </w:t>
      </w:r>
      <w:r>
        <w:rPr>
          <w:b w:val="0"/>
          <w:color w:val="auto"/>
          <w:sz w:val="20"/>
          <w:szCs w:val="20"/>
        </w:rPr>
        <w:t>[2022] NZCA 471</w:t>
      </w:r>
    </w:p>
    <w:p w14:paraId="0734318B" w14:textId="77777777" w:rsidR="00AC5F54" w:rsidRPr="00467736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 w:rsidRPr="00855696">
        <w:rPr>
          <w:b w:val="0"/>
          <w:i/>
          <w:iCs/>
          <w:color w:val="auto"/>
          <w:sz w:val="20"/>
          <w:szCs w:val="20"/>
        </w:rPr>
        <w:t>CSR Pokeno Ltd v YES Investment NZ Ltd</w:t>
      </w:r>
      <w:r w:rsidRPr="00855696">
        <w:rPr>
          <w:b w:val="0"/>
          <w:color w:val="auto"/>
          <w:sz w:val="20"/>
          <w:szCs w:val="20"/>
        </w:rPr>
        <w:t xml:space="preserve"> [2022] NZHC 2379</w:t>
      </w:r>
    </w:p>
    <w:p w14:paraId="785D5A83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NZ Cash Flow Control Ltd v Attorney-General </w:t>
      </w:r>
      <w:r>
        <w:rPr>
          <w:b w:val="0"/>
          <w:color w:val="auto"/>
          <w:sz w:val="20"/>
          <w:szCs w:val="20"/>
        </w:rPr>
        <w:t>[2022] NZHC 2351</w:t>
      </w:r>
    </w:p>
    <w:p w14:paraId="30665C8F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Re Trevor Wilson Trustee Ltd </w:t>
      </w:r>
      <w:r>
        <w:rPr>
          <w:b w:val="0"/>
          <w:color w:val="auto"/>
          <w:sz w:val="20"/>
          <w:szCs w:val="20"/>
        </w:rPr>
        <w:t>[2022] NZHC 2118</w:t>
      </w:r>
    </w:p>
    <w:p w14:paraId="61F9B549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McLaughlin v McLaughlin </w:t>
      </w:r>
      <w:r>
        <w:rPr>
          <w:b w:val="0"/>
          <w:color w:val="auto"/>
          <w:sz w:val="20"/>
          <w:szCs w:val="20"/>
        </w:rPr>
        <w:t>[2022] NZHC 181</w:t>
      </w:r>
    </w:p>
    <w:p w14:paraId="43AC9B78" w14:textId="77777777" w:rsidR="00AC5F54" w:rsidRPr="00855696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Clearmont (Queenstown) Ltd v Redwood Group Ltd </w:t>
      </w:r>
      <w:r>
        <w:rPr>
          <w:b w:val="0"/>
          <w:color w:val="auto"/>
          <w:sz w:val="18"/>
          <w:szCs w:val="18"/>
        </w:rPr>
        <w:t>[2022] NZHC 1567</w:t>
      </w:r>
    </w:p>
    <w:p w14:paraId="4FD51E4A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Stratford v Moses </w:t>
      </w:r>
      <w:r>
        <w:rPr>
          <w:b w:val="0"/>
          <w:color w:val="auto"/>
          <w:sz w:val="20"/>
          <w:szCs w:val="20"/>
        </w:rPr>
        <w:t>[2022] NZHC 1463</w:t>
      </w:r>
    </w:p>
    <w:p w14:paraId="3DF7D29A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Kain v Public Trust </w:t>
      </w:r>
      <w:r>
        <w:rPr>
          <w:b w:val="0"/>
          <w:color w:val="auto"/>
          <w:sz w:val="20"/>
          <w:szCs w:val="20"/>
        </w:rPr>
        <w:t>(2022) 5 NZTR 32-008</w:t>
      </w:r>
    </w:p>
    <w:p w14:paraId="67572FFD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Green &amp; McCahill Holdings Ltd v Ara Weiti Developments Ltd </w:t>
      </w:r>
      <w:r>
        <w:rPr>
          <w:b w:val="0"/>
          <w:color w:val="auto"/>
          <w:sz w:val="20"/>
          <w:szCs w:val="20"/>
        </w:rPr>
        <w:t>[2022] NZCA 218</w:t>
      </w:r>
    </w:p>
    <w:p w14:paraId="16D8F925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Kain v Public Trust </w:t>
      </w:r>
      <w:r>
        <w:rPr>
          <w:b w:val="0"/>
          <w:color w:val="auto"/>
          <w:sz w:val="20"/>
          <w:szCs w:val="20"/>
        </w:rPr>
        <w:t>[2022] NZSC 65, (2022) 5 NZTR 32-006</w:t>
      </w:r>
    </w:p>
    <w:p w14:paraId="1CDABA10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Banks v Farmer </w:t>
      </w:r>
      <w:r>
        <w:rPr>
          <w:b w:val="0"/>
          <w:color w:val="auto"/>
          <w:sz w:val="20"/>
          <w:szCs w:val="20"/>
        </w:rPr>
        <w:t>[2022] NZHC 458</w:t>
      </w:r>
    </w:p>
    <w:p w14:paraId="0E20C571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JH v LN </w:t>
      </w:r>
      <w:r>
        <w:rPr>
          <w:b w:val="0"/>
          <w:color w:val="auto"/>
          <w:sz w:val="20"/>
          <w:szCs w:val="20"/>
        </w:rPr>
        <w:t>[2022] NZFC 771</w:t>
      </w:r>
    </w:p>
    <w:p w14:paraId="1A433A6C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Cartwright v Reid </w:t>
      </w:r>
      <w:r>
        <w:rPr>
          <w:b w:val="0"/>
          <w:color w:val="auto"/>
          <w:sz w:val="20"/>
          <w:szCs w:val="20"/>
        </w:rPr>
        <w:t>[2021] NZDC 23939</w:t>
      </w:r>
    </w:p>
    <w:p w14:paraId="202507D2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Kain v Public Trust </w:t>
      </w:r>
      <w:r>
        <w:rPr>
          <w:b w:val="0"/>
          <w:color w:val="auto"/>
          <w:sz w:val="20"/>
          <w:szCs w:val="20"/>
        </w:rPr>
        <w:t>[2021] NZCA 685, (2021) 5 NZTR 31-020</w:t>
      </w:r>
    </w:p>
    <w:p w14:paraId="47A9BAD0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McLaughlin v McLaughlin </w:t>
      </w:r>
      <w:r>
        <w:rPr>
          <w:b w:val="0"/>
          <w:color w:val="auto"/>
          <w:sz w:val="20"/>
          <w:szCs w:val="20"/>
        </w:rPr>
        <w:t>[2021] NZHC 3015, (2021) 5 NZTR 31-017</w:t>
      </w:r>
    </w:p>
    <w:p w14:paraId="557087E4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Dempsey Wood Civil Ltd v Gapes </w:t>
      </w:r>
      <w:r>
        <w:rPr>
          <w:b w:val="0"/>
          <w:color w:val="auto"/>
          <w:sz w:val="20"/>
          <w:szCs w:val="20"/>
        </w:rPr>
        <w:t>[2021] NZHC 2941</w:t>
      </w:r>
    </w:p>
    <w:p w14:paraId="591A16DC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Dempsey Wood Civil Ltd v Gapes </w:t>
      </w:r>
      <w:r>
        <w:rPr>
          <w:b w:val="0"/>
          <w:color w:val="auto"/>
          <w:sz w:val="20"/>
          <w:szCs w:val="20"/>
        </w:rPr>
        <w:t>[2021] NZHC 2933</w:t>
      </w:r>
    </w:p>
    <w:p w14:paraId="58EBD860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Dempsey Wood Civil Ltd v Gapes </w:t>
      </w:r>
      <w:r>
        <w:rPr>
          <w:b w:val="0"/>
          <w:color w:val="auto"/>
          <w:sz w:val="20"/>
          <w:szCs w:val="20"/>
        </w:rPr>
        <w:t>[2021] NZHC 2362</w:t>
      </w:r>
    </w:p>
    <w:p w14:paraId="6AD8CEA3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Banks v Farmer </w:t>
      </w:r>
      <w:r>
        <w:rPr>
          <w:b w:val="0"/>
          <w:color w:val="auto"/>
          <w:sz w:val="20"/>
          <w:szCs w:val="20"/>
        </w:rPr>
        <w:t>[2021] NZHC 1922</w:t>
      </w:r>
    </w:p>
    <w:p w14:paraId="1A7C3568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Church Property Trustees v Carrell </w:t>
      </w:r>
      <w:r>
        <w:rPr>
          <w:b w:val="0"/>
          <w:color w:val="auto"/>
          <w:sz w:val="20"/>
          <w:szCs w:val="20"/>
        </w:rPr>
        <w:t>[2021] NZHC 1130</w:t>
      </w:r>
    </w:p>
    <w:p w14:paraId="2A19A9BB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J v J </w:t>
      </w:r>
      <w:r>
        <w:rPr>
          <w:b w:val="0"/>
          <w:color w:val="auto"/>
          <w:sz w:val="20"/>
          <w:szCs w:val="20"/>
        </w:rPr>
        <w:t>[2021] NZCA 181</w:t>
      </w:r>
    </w:p>
    <w:p w14:paraId="35912155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Public Trust v Kain </w:t>
      </w:r>
      <w:r>
        <w:rPr>
          <w:b w:val="0"/>
          <w:color w:val="auto"/>
          <w:sz w:val="20"/>
          <w:szCs w:val="20"/>
        </w:rPr>
        <w:t>[2021] NZHC 1000. (2021) 5 NZTR 31-002</w:t>
      </w:r>
    </w:p>
    <w:p w14:paraId="1BB88EC6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Fullarton v Arowana International Ltd </w:t>
      </w:r>
      <w:r>
        <w:rPr>
          <w:b w:val="0"/>
          <w:color w:val="auto"/>
          <w:sz w:val="20"/>
          <w:szCs w:val="20"/>
        </w:rPr>
        <w:t>[2021[ NZHC 931</w:t>
      </w:r>
    </w:p>
    <w:p w14:paraId="124A140E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J v J </w:t>
      </w:r>
      <w:r>
        <w:rPr>
          <w:b w:val="0"/>
          <w:color w:val="auto"/>
          <w:sz w:val="20"/>
          <w:szCs w:val="20"/>
        </w:rPr>
        <w:t>[2021] NZHC 331</w:t>
      </w:r>
    </w:p>
    <w:p w14:paraId="3EF0138F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Coughlan v Enright </w:t>
      </w:r>
      <w:r>
        <w:rPr>
          <w:b w:val="0"/>
          <w:color w:val="auto"/>
          <w:sz w:val="20"/>
          <w:szCs w:val="20"/>
        </w:rPr>
        <w:t>[2021] NZFC 1637</w:t>
      </w:r>
    </w:p>
    <w:p w14:paraId="1B2B30D0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lastRenderedPageBreak/>
        <w:t xml:space="preserve">Green &amp; McCahill Holdings Ltd v Ara Weiti Developments Ltd </w:t>
      </w:r>
      <w:r>
        <w:rPr>
          <w:b w:val="0"/>
          <w:color w:val="auto"/>
          <w:sz w:val="20"/>
          <w:szCs w:val="20"/>
        </w:rPr>
        <w:t>[2021] NZHC 219, (2021) 21 NZCPR 844</w:t>
      </w:r>
    </w:p>
    <w:p w14:paraId="62FC6990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KME Services NZ Pty Ltd v CPB Contractors Pty Ltd </w:t>
      </w:r>
      <w:r>
        <w:rPr>
          <w:b w:val="0"/>
          <w:color w:val="auto"/>
          <w:sz w:val="20"/>
          <w:szCs w:val="20"/>
        </w:rPr>
        <w:t>[2021] NZHC 212, [2021] 2 NZLR 315</w:t>
      </w:r>
    </w:p>
    <w:p w14:paraId="086A9687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J v J </w:t>
      </w:r>
      <w:r>
        <w:rPr>
          <w:b w:val="0"/>
          <w:color w:val="auto"/>
          <w:sz w:val="20"/>
          <w:szCs w:val="20"/>
        </w:rPr>
        <w:t>[2021] NZHC 96, [2021] NZFLR 145</w:t>
      </w:r>
    </w:p>
    <w:p w14:paraId="7C1D6B04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Jacanna Holdings Ltd v Pacific Auto Carrier (NZ) Ltd </w:t>
      </w:r>
      <w:r>
        <w:rPr>
          <w:b w:val="0"/>
          <w:color w:val="auto"/>
          <w:sz w:val="20"/>
          <w:szCs w:val="20"/>
        </w:rPr>
        <w:t>[2020] NZHC 3308</w:t>
      </w:r>
    </w:p>
    <w:p w14:paraId="0F9F7E94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J v J </w:t>
      </w:r>
      <w:r>
        <w:rPr>
          <w:b w:val="0"/>
          <w:color w:val="auto"/>
          <w:sz w:val="20"/>
          <w:szCs w:val="20"/>
        </w:rPr>
        <w:t>[2020] NZHC 2887, [2020] NZFLR 594</w:t>
      </w:r>
    </w:p>
    <w:p w14:paraId="74C7ACA2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Li v 110 Formosa (NZ) Ltd </w:t>
      </w:r>
      <w:r>
        <w:rPr>
          <w:b w:val="0"/>
          <w:color w:val="auto"/>
          <w:sz w:val="20"/>
          <w:szCs w:val="20"/>
        </w:rPr>
        <w:t>[2020] NZCA 492</w:t>
      </w:r>
    </w:p>
    <w:p w14:paraId="2B36BDE3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Cain v Mettrick </w:t>
      </w:r>
      <w:r>
        <w:rPr>
          <w:b w:val="0"/>
          <w:color w:val="auto"/>
          <w:sz w:val="20"/>
          <w:szCs w:val="20"/>
        </w:rPr>
        <w:t>[2020] NZHC 2597</w:t>
      </w:r>
    </w:p>
    <w:p w14:paraId="6E1F6AD4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J v J </w:t>
      </w:r>
      <w:r>
        <w:rPr>
          <w:b w:val="0"/>
          <w:color w:val="auto"/>
          <w:sz w:val="20"/>
          <w:szCs w:val="20"/>
        </w:rPr>
        <w:t>[2020] NZHC 2197</w:t>
      </w:r>
    </w:p>
    <w:p w14:paraId="46523E27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Cain v Mettrick </w:t>
      </w:r>
      <w:r>
        <w:rPr>
          <w:b w:val="0"/>
          <w:color w:val="auto"/>
          <w:sz w:val="20"/>
          <w:szCs w:val="20"/>
        </w:rPr>
        <w:t>[2020] NZHC 2197</w:t>
      </w:r>
    </w:p>
    <w:p w14:paraId="5C2730D0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Autoterminal International Ltd v Lofa Trustee Ltd </w:t>
      </w:r>
      <w:r>
        <w:rPr>
          <w:b w:val="0"/>
          <w:color w:val="auto"/>
          <w:sz w:val="20"/>
          <w:szCs w:val="20"/>
        </w:rPr>
        <w:t>[2020] NZHC 1843</w:t>
      </w:r>
    </w:p>
    <w:p w14:paraId="668882D0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Norris v PR Law Queenstown No 1 Trustees Ltd (in liq) </w:t>
      </w:r>
      <w:r>
        <w:rPr>
          <w:b w:val="0"/>
          <w:color w:val="auto"/>
          <w:sz w:val="20"/>
          <w:szCs w:val="20"/>
        </w:rPr>
        <w:t>[2020] NZHC 1746</w:t>
      </w:r>
    </w:p>
    <w:p w14:paraId="1E0F4AF1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PR Law Queenstown No 1 Trustee Ltd (in liq) v Norris </w:t>
      </w:r>
      <w:r>
        <w:rPr>
          <w:b w:val="0"/>
          <w:color w:val="auto"/>
          <w:sz w:val="20"/>
          <w:szCs w:val="20"/>
        </w:rPr>
        <w:t>[2020] NZHC 1397, (2020) 5 NZTR 30-020</w:t>
      </w:r>
    </w:p>
    <w:p w14:paraId="4BBAD02C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Smith v Shaw </w:t>
      </w:r>
      <w:r>
        <w:rPr>
          <w:b w:val="0"/>
          <w:color w:val="auto"/>
          <w:sz w:val="20"/>
          <w:szCs w:val="20"/>
        </w:rPr>
        <w:t>[2020] NZHC 1229, (2020) 5 NZTR 30-007</w:t>
      </w:r>
    </w:p>
    <w:p w14:paraId="58D112E8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Mackintosh v Thomas </w:t>
      </w:r>
      <w:r>
        <w:rPr>
          <w:b w:val="0"/>
          <w:color w:val="auto"/>
          <w:sz w:val="20"/>
          <w:szCs w:val="20"/>
        </w:rPr>
        <w:t>[2020] NZHC 860</w:t>
      </w:r>
    </w:p>
    <w:p w14:paraId="67CF2FD6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Cain v Mettrick </w:t>
      </w:r>
      <w:r>
        <w:rPr>
          <w:b w:val="0"/>
          <w:color w:val="auto"/>
          <w:sz w:val="20"/>
          <w:szCs w:val="20"/>
        </w:rPr>
        <w:t>[2020] NZHC 545, (2020) 25 PRNZ 173</w:t>
      </w:r>
    </w:p>
    <w:p w14:paraId="126B119E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Property Brokers Ltd v Hastings McLeod Real Estate Ltd </w:t>
      </w:r>
      <w:r>
        <w:rPr>
          <w:b w:val="0"/>
          <w:color w:val="auto"/>
          <w:sz w:val="20"/>
          <w:szCs w:val="20"/>
        </w:rPr>
        <w:t>[2020] NZHC 271</w:t>
      </w:r>
    </w:p>
    <w:p w14:paraId="308F8AF4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Smith v Shaw </w:t>
      </w:r>
      <w:r>
        <w:rPr>
          <w:b w:val="0"/>
          <w:color w:val="auto"/>
          <w:sz w:val="20"/>
          <w:szCs w:val="20"/>
        </w:rPr>
        <w:t>[2020] NZHC 238, [2020] 3 NZLR 661</w:t>
      </w:r>
    </w:p>
    <w:p w14:paraId="0DD28118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Gloria Jean’s Coffees International Pty Ltd v Daboko Ltd </w:t>
      </w:r>
      <w:r>
        <w:rPr>
          <w:b w:val="0"/>
          <w:color w:val="auto"/>
          <w:sz w:val="20"/>
          <w:szCs w:val="20"/>
        </w:rPr>
        <w:t>[2020] NZHC 29, [2020] 2 NZLR 488</w:t>
      </w:r>
    </w:p>
    <w:p w14:paraId="5FAF3003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Banks v Farmer </w:t>
      </w:r>
      <w:r>
        <w:rPr>
          <w:b w:val="0"/>
          <w:color w:val="auto"/>
          <w:sz w:val="20"/>
          <w:szCs w:val="20"/>
        </w:rPr>
        <w:t>[2019] NZHC 3415</w:t>
      </w:r>
    </w:p>
    <w:p w14:paraId="5ED1C911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Northlake Investments Ltd v Wanaka Medical Centre Ltd </w:t>
      </w:r>
      <w:r>
        <w:rPr>
          <w:b w:val="0"/>
          <w:color w:val="auto"/>
          <w:sz w:val="20"/>
          <w:szCs w:val="20"/>
        </w:rPr>
        <w:t>[2019] NZHC 3443</w:t>
      </w:r>
    </w:p>
    <w:p w14:paraId="311B732F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Glasgow Harley Trustee Ltd v McLaughlin </w:t>
      </w:r>
      <w:r>
        <w:rPr>
          <w:b w:val="0"/>
          <w:color w:val="auto"/>
          <w:sz w:val="20"/>
          <w:szCs w:val="20"/>
        </w:rPr>
        <w:t>[2019] NZHC 3385, (2019) 5 NZTR 29-033</w:t>
      </w:r>
    </w:p>
    <w:p w14:paraId="051E9C08" w14:textId="77777777" w:rsidR="00AC5F54" w:rsidRPr="00855696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Cullen Group Ltd v Commissioner of Inland Revenue </w:t>
      </w:r>
      <w:r>
        <w:rPr>
          <w:b w:val="0"/>
          <w:color w:val="auto"/>
          <w:sz w:val="20"/>
          <w:szCs w:val="20"/>
        </w:rPr>
        <w:t>[2019] NZHC 3110, (2019) 29 NZTC 24-024, (2019) 24 PRNZ 703</w:t>
      </w:r>
    </w:p>
    <w:p w14:paraId="02549D1A" w14:textId="77777777" w:rsidR="00AC5F54" w:rsidRPr="00081DE1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Pisida Holdings Ltd v Darby </w:t>
      </w:r>
      <w:r w:rsidRPr="00081DE1">
        <w:rPr>
          <w:b w:val="0"/>
          <w:color w:val="auto"/>
          <w:sz w:val="20"/>
          <w:szCs w:val="20"/>
        </w:rPr>
        <w:t>[2019] NZFLR 96</w:t>
      </w:r>
    </w:p>
    <w:p w14:paraId="031B98C9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Cain v Mettrick </w:t>
      </w:r>
      <w:r>
        <w:rPr>
          <w:b w:val="0"/>
          <w:color w:val="auto"/>
          <w:sz w:val="20"/>
          <w:szCs w:val="20"/>
        </w:rPr>
        <w:t>[2019] NZAR 668</w:t>
      </w:r>
    </w:p>
    <w:p w14:paraId="54C0FC2F" w14:textId="77777777" w:rsidR="00AC5F5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Cullen Group Ltd v Commissioner of Inland Revenue </w:t>
      </w:r>
      <w:r>
        <w:rPr>
          <w:b w:val="0"/>
          <w:color w:val="auto"/>
          <w:sz w:val="20"/>
          <w:szCs w:val="20"/>
        </w:rPr>
        <w:t>(2019) NZTC 24-003</w:t>
      </w:r>
    </w:p>
    <w:p w14:paraId="0A978B83" w14:textId="77777777" w:rsidR="00AC5F54" w:rsidRPr="000F2786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>
        <w:rPr>
          <w:b w:val="0"/>
          <w:i/>
          <w:iCs/>
          <w:color w:val="auto"/>
          <w:sz w:val="20"/>
          <w:szCs w:val="20"/>
        </w:rPr>
        <w:t xml:space="preserve">McLaughlin v McLaughlin </w:t>
      </w:r>
      <w:r>
        <w:rPr>
          <w:b w:val="0"/>
          <w:color w:val="auto"/>
          <w:sz w:val="20"/>
          <w:szCs w:val="20"/>
        </w:rPr>
        <w:t>(2018) 4 NZTR 28-033, [2019] NZAR 286</w:t>
      </w:r>
    </w:p>
    <w:p w14:paraId="72CFD6C3" w14:textId="77777777" w:rsidR="00AC5F54" w:rsidRPr="00E2165F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 w:rsidRPr="00E2165F">
        <w:rPr>
          <w:b w:val="0"/>
          <w:i/>
          <w:iCs/>
          <w:color w:val="auto"/>
          <w:sz w:val="20"/>
          <w:szCs w:val="20"/>
        </w:rPr>
        <w:t xml:space="preserve">Commissioner of Inland </w:t>
      </w:r>
      <w:r w:rsidRPr="00D814D2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Revenue v Cullen Group Ltd</w:t>
      </w:r>
      <w:r w:rsidRPr="00D814D2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(2018) 28 NZTC 23-059</w:t>
      </w:r>
    </w:p>
    <w:p w14:paraId="2A6EDD32" w14:textId="77777777" w:rsidR="00AC5F54" w:rsidRPr="00E2165F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 w:rsidRPr="00E2165F">
        <w:rPr>
          <w:b w:val="0"/>
          <w:i/>
          <w:iCs/>
          <w:color w:val="auto"/>
          <w:sz w:val="20"/>
          <w:szCs w:val="20"/>
        </w:rPr>
        <w:t>Darlow v Raymond</w:t>
      </w:r>
      <w:r w:rsidRPr="00E2165F">
        <w:rPr>
          <w:b w:val="0"/>
          <w:color w:val="auto"/>
          <w:sz w:val="20"/>
          <w:szCs w:val="20"/>
        </w:rPr>
        <w:t xml:space="preserve"> [2017] 3 NZLR 353</w:t>
      </w:r>
    </w:p>
    <w:p w14:paraId="7A287F6F" w14:textId="77777777" w:rsidR="00AC5F54" w:rsidRPr="00E2165F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 w:rsidRPr="00D814D2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Presbyterian Support (Upper South Island) v The New Zealand Guardian Trust Company Ltd</w:t>
      </w:r>
      <w:r w:rsidRPr="00D814D2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[2017] NZAR 84</w:t>
      </w:r>
    </w:p>
    <w:p w14:paraId="7EADAEF8" w14:textId="77777777" w:rsidR="00AC5F54" w:rsidRPr="00E2165F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 w:rsidRPr="00D814D2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Re Utterson-Kelson (No 2)</w:t>
      </w:r>
      <w:r w:rsidRPr="00D814D2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[2015] NZAR 1488</w:t>
      </w:r>
    </w:p>
    <w:p w14:paraId="681E64CA" w14:textId="77777777" w:rsidR="00AC5F54" w:rsidRPr="00E2165F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color w:val="auto"/>
          <w:sz w:val="20"/>
          <w:szCs w:val="20"/>
        </w:rPr>
      </w:pPr>
      <w:r w:rsidRPr="00D814D2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Re Utterson-Kelson</w:t>
      </w:r>
      <w:r w:rsidRPr="00D814D2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[2015] NZAR 922</w:t>
      </w:r>
    </w:p>
    <w:p w14:paraId="710D8D98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i/>
          <w:iCs/>
          <w:color w:val="auto"/>
          <w:sz w:val="20"/>
          <w:szCs w:val="20"/>
        </w:rPr>
      </w:pPr>
      <w:r w:rsidRPr="009B00D4">
        <w:rPr>
          <w:b w:val="0"/>
          <w:i/>
          <w:iCs/>
          <w:color w:val="auto"/>
          <w:sz w:val="20"/>
          <w:szCs w:val="20"/>
        </w:rPr>
        <w:t xml:space="preserve">Cunningham v Butterfield </w:t>
      </w:r>
      <w:r w:rsidRPr="009B00D4">
        <w:rPr>
          <w:b w:val="0"/>
          <w:color w:val="auto"/>
          <w:sz w:val="20"/>
          <w:szCs w:val="20"/>
        </w:rPr>
        <w:t>(2014) 22 PRNZ 521</w:t>
      </w:r>
    </w:p>
    <w:p w14:paraId="2FFDF5DC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i/>
          <w:iCs/>
          <w:color w:val="auto"/>
          <w:sz w:val="20"/>
          <w:szCs w:val="20"/>
        </w:rPr>
      </w:pPr>
      <w:r w:rsidRPr="009B00D4">
        <w:rPr>
          <w:b w:val="0"/>
          <w:i/>
          <w:iCs/>
          <w:color w:val="auto"/>
          <w:sz w:val="20"/>
          <w:szCs w:val="20"/>
        </w:rPr>
        <w:t xml:space="preserve">J v J </w:t>
      </w:r>
      <w:r w:rsidRPr="009B00D4">
        <w:rPr>
          <w:b w:val="0"/>
          <w:color w:val="auto"/>
          <w:sz w:val="20"/>
          <w:szCs w:val="20"/>
        </w:rPr>
        <w:t>[2015] NZAR 861</w:t>
      </w:r>
    </w:p>
    <w:p w14:paraId="3CCDB34B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i/>
          <w:iCs/>
          <w:color w:val="auto"/>
          <w:sz w:val="20"/>
          <w:szCs w:val="20"/>
        </w:rPr>
      </w:pPr>
      <w:r w:rsidRPr="009B00D4">
        <w:rPr>
          <w:b w:val="0"/>
          <w:i/>
          <w:iCs/>
          <w:color w:val="auto"/>
          <w:sz w:val="20"/>
          <w:szCs w:val="20"/>
        </w:rPr>
        <w:t xml:space="preserve">Satterthwaite v Gough Holdings Ltd </w:t>
      </w:r>
      <w:r w:rsidRPr="009B00D4">
        <w:rPr>
          <w:b w:val="0"/>
          <w:color w:val="auto"/>
          <w:sz w:val="20"/>
          <w:szCs w:val="20"/>
        </w:rPr>
        <w:t>[2015] NZCCLR 15</w:t>
      </w:r>
    </w:p>
    <w:p w14:paraId="3A640AD4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b w:val="0"/>
          <w:bCs/>
          <w:i/>
          <w:iCs/>
          <w:color w:val="auto"/>
          <w:sz w:val="20"/>
          <w:szCs w:val="20"/>
        </w:rPr>
      </w:pPr>
      <w:r w:rsidRPr="009B00D4">
        <w:rPr>
          <w:b w:val="0"/>
          <w:bCs/>
          <w:i/>
          <w:iCs/>
          <w:color w:val="222222"/>
          <w:sz w:val="20"/>
          <w:szCs w:val="20"/>
          <w:shd w:val="clear" w:color="auto" w:fill="FFFFFF"/>
        </w:rPr>
        <w:t>Dalian Deepwater Developer Ltd v Dybdahl</w:t>
      </w:r>
      <w:r w:rsidRPr="009B00D4">
        <w:rPr>
          <w:b w:val="0"/>
          <w:bCs/>
          <w:color w:val="222222"/>
          <w:sz w:val="20"/>
          <w:szCs w:val="20"/>
          <w:shd w:val="clear" w:color="auto" w:fill="FFFFFF"/>
        </w:rPr>
        <w:t xml:space="preserve"> [2015] 3 NZLR 260</w:t>
      </w:r>
    </w:p>
    <w:p w14:paraId="2B0044E7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Holler v Osaki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[2014] 3 NZLR 791</w:t>
      </w:r>
    </w:p>
    <w:p w14:paraId="44601C3F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Great Christchurch Buildings Trust v Church Property Trustees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[2014] 3 NZLR 236</w:t>
      </w:r>
    </w:p>
    <w:p w14:paraId="36287DEB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Gough v Strahl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[2013] 3 NZTR 23-019</w:t>
      </w:r>
    </w:p>
    <w:p w14:paraId="4A7382D4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Great Christchurch Buildings Trust v Church Property Trustees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[2013] 2 NZLR 230</w:t>
      </w:r>
    </w:p>
    <w:p w14:paraId="4C6ECC6B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Great Christchurch Buildings Trust v Church Property Trustees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[2013] 3 NZLR 597</w:t>
      </w:r>
    </w:p>
    <w:p w14:paraId="51A4F0B3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Church Property Trustees v Attorney-General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[2013] 2 NZLR 428</w:t>
      </w:r>
    </w:p>
    <w:p w14:paraId="3FB2D5F9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lastRenderedPageBreak/>
        <w:t>AMI Insurance Ltd v Devcich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[2011] 16 ANZ Insurance Cases 61-895 (CA)</w:t>
      </w:r>
    </w:p>
    <w:p w14:paraId="4AC78E38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Howe v Keown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[2011] NZAR 764</w:t>
      </w:r>
    </w:p>
    <w:p w14:paraId="64A7CF3C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F M Custodians Ltd v Pinot Rouge New Zealand Ltd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[2011] 12 NZCPR 155</w:t>
      </w:r>
    </w:p>
    <w:p w14:paraId="14C62949" w14:textId="77777777" w:rsidR="00AC5F54" w:rsidRPr="009B00D4" w:rsidRDefault="00AC5F54" w:rsidP="00AC5F54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Hagaman v Fairbank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[2010] 20 PRNZ 68 (CA)</w:t>
      </w:r>
    </w:p>
    <w:p w14:paraId="2F2AFBA0" w14:textId="436383B2" w:rsidR="00C071DA" w:rsidRPr="00D14BA3" w:rsidRDefault="00AC5F54" w:rsidP="00D14BA3">
      <w:pPr>
        <w:pStyle w:val="CVHeading"/>
        <w:numPr>
          <w:ilvl w:val="0"/>
          <w:numId w:val="2"/>
        </w:numPr>
        <w:spacing w:after="120"/>
        <w:rPr>
          <w:rFonts w:eastAsia="Times New Roman"/>
          <w:b w:val="0"/>
          <w:color w:val="auto"/>
          <w:sz w:val="20"/>
          <w:szCs w:val="20"/>
          <w:lang w:eastAsia="en-GB"/>
        </w:rPr>
      </w:pPr>
      <w:r w:rsidRPr="009B00D4">
        <w:rPr>
          <w:rFonts w:eastAsia="Times New Roman"/>
          <w:b w:val="0"/>
          <w:i/>
          <w:iCs/>
          <w:color w:val="auto"/>
          <w:sz w:val="20"/>
          <w:szCs w:val="20"/>
          <w:lang w:eastAsia="en-GB"/>
        </w:rPr>
        <w:t>Kain v Hutton</w:t>
      </w:r>
      <w:r w:rsidRPr="009B00D4">
        <w:rPr>
          <w:rFonts w:eastAsia="Times New Roman"/>
          <w:b w:val="0"/>
          <w:color w:val="auto"/>
          <w:sz w:val="20"/>
          <w:szCs w:val="20"/>
          <w:lang w:eastAsia="en-GB"/>
        </w:rPr>
        <w:t xml:space="preserve"> [2008] 3 NZLR 589 (SCNZ)</w:t>
      </w:r>
    </w:p>
    <w:sectPr w:rsidR="00C071DA" w:rsidRPr="00D14BA3">
      <w:pgSz w:w="11900" w:h="16840"/>
      <w:pgMar w:top="1400" w:right="1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D2"/>
    <w:multiLevelType w:val="hybridMultilevel"/>
    <w:tmpl w:val="8C4CBA8A"/>
    <w:lvl w:ilvl="0" w:tplc="3A8E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9E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0400"/>
    <w:multiLevelType w:val="hybridMultilevel"/>
    <w:tmpl w:val="64A0AF40"/>
    <w:lvl w:ilvl="0" w:tplc="D05E522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9E0"/>
        <w:w w:val="99"/>
        <w:sz w:val="18"/>
        <w:szCs w:val="18"/>
        <w:lang w:val="en-US" w:eastAsia="en-US" w:bidi="ar-SA"/>
      </w:rPr>
    </w:lvl>
    <w:lvl w:ilvl="1" w:tplc="9FDC52B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ACF84BE4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C1486E6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1FE4E4A2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DAAA34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412C856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FC3E86E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74405B5C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1DA"/>
    <w:rsid w:val="00374C43"/>
    <w:rsid w:val="00584EC2"/>
    <w:rsid w:val="006F2BB7"/>
    <w:rsid w:val="00AC5F54"/>
    <w:rsid w:val="00AC7020"/>
    <w:rsid w:val="00AD2FEB"/>
    <w:rsid w:val="00BC1C08"/>
    <w:rsid w:val="00C06CE5"/>
    <w:rsid w:val="00C071DA"/>
    <w:rsid w:val="00CD3AB1"/>
    <w:rsid w:val="00D14BA3"/>
    <w:rsid w:val="00ED3CC7"/>
    <w:rsid w:val="00E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FB60"/>
  <w15:docId w15:val="{6624CE66-4607-49B2-9418-B559EDA9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 w:line="367" w:lineRule="exact"/>
      <w:ind w:left="3132" w:right="296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VHeading">
    <w:name w:val="CV Heading"/>
    <w:basedOn w:val="Normal"/>
    <w:link w:val="CVHeadingChar"/>
    <w:qFormat/>
    <w:rsid w:val="00AC5F54"/>
    <w:pPr>
      <w:widowControl/>
      <w:autoSpaceDE/>
      <w:autoSpaceDN/>
      <w:ind w:left="-142"/>
    </w:pPr>
    <w:rPr>
      <w:rFonts w:eastAsia="Calibri"/>
      <w:b/>
      <w:color w:val="244061"/>
      <w:sz w:val="24"/>
      <w:szCs w:val="14"/>
      <w:lang w:val="en-NZ"/>
    </w:rPr>
  </w:style>
  <w:style w:type="character" w:customStyle="1" w:styleId="CVHeadingChar">
    <w:name w:val="CV Heading Char"/>
    <w:link w:val="CVHeading"/>
    <w:rsid w:val="00AC5F54"/>
    <w:rPr>
      <w:rFonts w:ascii="Arial" w:eastAsia="Calibri" w:hAnsi="Arial" w:cs="Arial"/>
      <w:b/>
      <w:color w:val="244061"/>
      <w:sz w:val="24"/>
      <w:szCs w:val="1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emy.johnson@bankside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Jeremy Johnson CV June 2020</dc:title>
  <dc:creator>jerem</dc:creator>
  <cp:lastModifiedBy>Denise Flanagan</cp:lastModifiedBy>
  <cp:revision>9</cp:revision>
  <dcterms:created xsi:type="dcterms:W3CDTF">2022-11-23T21:56:00Z</dcterms:created>
  <dcterms:modified xsi:type="dcterms:W3CDTF">2022-11-23T22:32:00Z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2022-07-04T00:00:00Z</vt:filetime>
  </property>
  <property fmtid="{D5CDD505-2E9C-101B-9397-08002B2CF9AE}" pid="5" name="Producer">
    <vt:lpwstr>GPL Ghostscript 8.15</vt:lpwstr>
  </property>
</Properties>
</file>